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250" w:rsidRDefault="00E81250" w:rsidP="00E81250">
      <w:pPr>
        <w:spacing w:line="480" w:lineRule="auto"/>
        <w:jc w:val="center"/>
      </w:pPr>
    </w:p>
    <w:p w:rsidR="00E81250" w:rsidRDefault="00E81250" w:rsidP="00E81250">
      <w:pPr>
        <w:spacing w:line="480" w:lineRule="auto"/>
        <w:jc w:val="center"/>
      </w:pPr>
    </w:p>
    <w:p w:rsidR="00E81250" w:rsidRDefault="00E81250" w:rsidP="00E81250">
      <w:pPr>
        <w:spacing w:line="480" w:lineRule="auto"/>
        <w:jc w:val="center"/>
      </w:pPr>
    </w:p>
    <w:p w:rsidR="00E81250" w:rsidRDefault="00E81250" w:rsidP="00E81250">
      <w:pPr>
        <w:spacing w:line="480" w:lineRule="auto"/>
        <w:jc w:val="center"/>
      </w:pPr>
    </w:p>
    <w:p w:rsidR="00E81250" w:rsidRDefault="00E81250" w:rsidP="00E81250">
      <w:pPr>
        <w:spacing w:line="480" w:lineRule="auto"/>
        <w:jc w:val="center"/>
      </w:pPr>
      <w:r>
        <w:t>Global Expansion</w:t>
      </w:r>
    </w:p>
    <w:p w:rsidR="00E81250" w:rsidRDefault="004C7414" w:rsidP="00E81250">
      <w:pPr>
        <w:spacing w:line="480" w:lineRule="auto"/>
        <w:jc w:val="center"/>
      </w:pPr>
      <w:r>
        <w:t xml:space="preserve">Student’s </w:t>
      </w:r>
      <w:bookmarkStart w:id="0" w:name="_GoBack"/>
      <w:bookmarkEnd w:id="0"/>
      <w:r w:rsidR="00E81250">
        <w:t>Name</w:t>
      </w:r>
    </w:p>
    <w:p w:rsidR="00E81250" w:rsidRDefault="00E81250" w:rsidP="00E81250">
      <w:pPr>
        <w:spacing w:line="480" w:lineRule="auto"/>
        <w:jc w:val="center"/>
      </w:pPr>
      <w:r>
        <w:t>Institutional Affiliation</w:t>
      </w:r>
    </w:p>
    <w:p w:rsidR="00E81250" w:rsidRDefault="00E81250">
      <w:r>
        <w:br w:type="page"/>
      </w:r>
    </w:p>
    <w:p w:rsidR="00E81250" w:rsidRDefault="00E81250" w:rsidP="00E81250">
      <w:pPr>
        <w:spacing w:line="480" w:lineRule="auto"/>
        <w:jc w:val="center"/>
      </w:pPr>
      <w:r>
        <w:lastRenderedPageBreak/>
        <w:t>Global Expansion</w:t>
      </w:r>
    </w:p>
    <w:tbl>
      <w:tblPr>
        <w:tblStyle w:val="TableGrid"/>
        <w:tblW w:w="0" w:type="auto"/>
        <w:tblLook w:val="04A0" w:firstRow="1" w:lastRow="0" w:firstColumn="1" w:lastColumn="0" w:noHBand="0" w:noVBand="1"/>
      </w:tblPr>
      <w:tblGrid>
        <w:gridCol w:w="4675"/>
        <w:gridCol w:w="4675"/>
      </w:tblGrid>
      <w:tr w:rsidR="00F92175" w:rsidTr="00284BD7">
        <w:tc>
          <w:tcPr>
            <w:tcW w:w="4675" w:type="dxa"/>
          </w:tcPr>
          <w:p w:rsidR="00F92175" w:rsidRDefault="00F92175" w:rsidP="00284BD7">
            <w:pPr>
              <w:rPr>
                <w:b/>
              </w:rPr>
            </w:pPr>
            <w:r w:rsidRPr="00D95B2C">
              <w:rPr>
                <w:b/>
              </w:rPr>
              <w:t>Company and Country</w:t>
            </w:r>
          </w:p>
          <w:p w:rsidR="00F92175" w:rsidRDefault="00F92175" w:rsidP="00284BD7">
            <w:r>
              <w:t>East End Capital is an American investment and property management company that deals with real estate. The company is based in New York and has over the years taken over the management of various properties with the goal of improving transparency and enhancing revenue flows. The success of the company in the American market is an indication for its readiness to expand into global markets (Lessard</w:t>
            </w:r>
            <w:r w:rsidRPr="003621A2">
              <w:t>,</w:t>
            </w:r>
            <w:r>
              <w:t xml:space="preserve"> Lucea &amp; Vives, 2013). Africa is a market that is characterized by developing countries that are still trying to improve their infrastructure. Kenya is a developing country in Africa that has over the years invested in development projects aimed at boosting its GDP and growing the economy. In the country’s capital Nairobi, there is a lucrative market that the company can tap in its global expansion. Nairobi has rapid real estate development and the growing population and relocation of companies into this emerging market means that East End Capital can provide the right management solutions in the management of the property.</w:t>
            </w:r>
          </w:p>
        </w:tc>
        <w:tc>
          <w:tcPr>
            <w:tcW w:w="4675" w:type="dxa"/>
          </w:tcPr>
          <w:p w:rsidR="00F92175" w:rsidRDefault="00F92175" w:rsidP="00284BD7">
            <w:pPr>
              <w:rPr>
                <w:b/>
              </w:rPr>
            </w:pPr>
            <w:r w:rsidRPr="00D95B2C">
              <w:rPr>
                <w:b/>
              </w:rPr>
              <w:t>Location</w:t>
            </w:r>
          </w:p>
          <w:p w:rsidR="00F92175" w:rsidRPr="00D95B2C" w:rsidRDefault="00F92175" w:rsidP="00284BD7">
            <w:pPr>
              <w:rPr>
                <w:b/>
              </w:rPr>
            </w:pPr>
            <w:r>
              <w:t>Nairobi is a city that is located centrally in the country with numerous economic activities taking place. As a capital, the city houses several businesses and regional offices for local and multinational companies. It also houses millions of people who live in different locations within the area</w:t>
            </w:r>
          </w:p>
        </w:tc>
      </w:tr>
      <w:tr w:rsidR="00F92175" w:rsidTr="00284BD7">
        <w:tc>
          <w:tcPr>
            <w:tcW w:w="4675" w:type="dxa"/>
          </w:tcPr>
          <w:p w:rsidR="00F92175" w:rsidRDefault="00F92175" w:rsidP="00284BD7">
            <w:pPr>
              <w:rPr>
                <w:b/>
              </w:rPr>
            </w:pPr>
            <w:r w:rsidRPr="00D95B2C">
              <w:rPr>
                <w:b/>
              </w:rPr>
              <w:t>Resources</w:t>
            </w:r>
          </w:p>
          <w:p w:rsidR="00F92175" w:rsidRPr="00D95B2C" w:rsidRDefault="00F92175" w:rsidP="00284BD7">
            <w:pPr>
              <w:rPr>
                <w:b/>
              </w:rPr>
            </w:pPr>
            <w:r>
              <w:t>Nairobi is blessed with adequate human resources and with the rising unemployment rates, there is huge potential to hire professionals who are looking for jobs (Lessard</w:t>
            </w:r>
            <w:r w:rsidRPr="003621A2">
              <w:t>,</w:t>
            </w:r>
            <w:r>
              <w:t xml:space="preserve"> Lucea &amp; Vives, 2013). The city has enough resources for the real estate and property management business. The existing property management agencies in the region lack the transparency that can persuade individuals to take up their services. The sector is mismanaged, and with the enormous natural resources found around this place, it would be easy for the company to make new investments as well as source property management business.</w:t>
            </w:r>
          </w:p>
        </w:tc>
        <w:tc>
          <w:tcPr>
            <w:tcW w:w="4675" w:type="dxa"/>
          </w:tcPr>
          <w:p w:rsidR="00F92175" w:rsidRPr="00D95B2C" w:rsidRDefault="00F92175" w:rsidP="00284BD7">
            <w:pPr>
              <w:rPr>
                <w:b/>
              </w:rPr>
            </w:pPr>
            <w:r w:rsidRPr="00D95B2C">
              <w:rPr>
                <w:b/>
              </w:rPr>
              <w:t>Transport Facilities</w:t>
            </w:r>
          </w:p>
          <w:p w:rsidR="00F92175" w:rsidRDefault="00F92175" w:rsidP="00284BD7">
            <w:r>
              <w:t>There are adequate transport facilities in this location. The recent development of standard gauge railway, airport, and the entrance of Uber services has transformed the transport sector in the region. The government is further putting up policies to sanitize transport and improve road safety.</w:t>
            </w:r>
          </w:p>
        </w:tc>
      </w:tr>
      <w:tr w:rsidR="00F92175" w:rsidTr="00284BD7">
        <w:tc>
          <w:tcPr>
            <w:tcW w:w="4675" w:type="dxa"/>
          </w:tcPr>
          <w:p w:rsidR="00F92175" w:rsidRDefault="00F92175" w:rsidP="00284BD7">
            <w:pPr>
              <w:rPr>
                <w:b/>
              </w:rPr>
            </w:pPr>
            <w:r>
              <w:rPr>
                <w:b/>
              </w:rPr>
              <w:t>Political Conditions and Culture</w:t>
            </w:r>
          </w:p>
          <w:p w:rsidR="00F92175" w:rsidRDefault="00F92175" w:rsidP="00284BD7">
            <w:pPr>
              <w:ind w:firstLine="720"/>
            </w:pPr>
            <w:r>
              <w:t xml:space="preserve">Nairobi has a rich culture that supports diversity. Other companies that have </w:t>
            </w:r>
            <w:r>
              <w:lastRenderedPageBreak/>
              <w:t>expanded to this region have found it easy to settle due to the supportive investor environment that has been developed by the government (Lessard</w:t>
            </w:r>
            <w:r w:rsidRPr="003621A2">
              <w:t>,</w:t>
            </w:r>
            <w:r>
              <w:t xml:space="preserve"> Lucea &amp; Vives, 2013). The city is also under new management that is focused on service delivery and transparency. The country is politically stable something that inspires investor confidence. Over the last two general elections, the leadership of the country has managed to conduct democratic elections. If East End Capital is to expand to this new market, it will find it easy to adapt.</w:t>
            </w:r>
          </w:p>
          <w:p w:rsidR="00F92175" w:rsidRDefault="00F92175" w:rsidP="00284BD7">
            <w:pPr>
              <w:rPr>
                <w:b/>
              </w:rPr>
            </w:pPr>
          </w:p>
          <w:p w:rsidR="00F92175" w:rsidRPr="00D95B2C" w:rsidRDefault="00F92175" w:rsidP="00284BD7">
            <w:pPr>
              <w:rPr>
                <w:b/>
              </w:rPr>
            </w:pPr>
          </w:p>
        </w:tc>
        <w:tc>
          <w:tcPr>
            <w:tcW w:w="4675" w:type="dxa"/>
          </w:tcPr>
          <w:p w:rsidR="00F92175" w:rsidRDefault="00F92175" w:rsidP="00284BD7">
            <w:pPr>
              <w:rPr>
                <w:b/>
              </w:rPr>
            </w:pPr>
            <w:r>
              <w:rPr>
                <w:b/>
              </w:rPr>
              <w:lastRenderedPageBreak/>
              <w:t>Currency and Exchange Rates</w:t>
            </w:r>
          </w:p>
          <w:p w:rsidR="00F92175" w:rsidRPr="00D95B2C" w:rsidRDefault="00F92175" w:rsidP="00284BD7">
            <w:pPr>
              <w:rPr>
                <w:b/>
              </w:rPr>
            </w:pPr>
            <w:r>
              <w:t xml:space="preserve">The issue of currency and exchange rates is not an issue. As a country, Kenya uses its </w:t>
            </w:r>
            <w:r>
              <w:lastRenderedPageBreak/>
              <w:t>official currency the Kenyan Shilling locally but has adopted the dollar for its foreign transactions. There is almost a stable exchange rate between the dollar and the shilling as a result of political stability and the growth of the economy (Khan, n.d). Kenya and the U.S. have had good bilateral relations which means that U.S. companies can fast-track their investment without the fear of fluctuating exchange rates. Foreign exchange fluctuations are a threat to investment, and East End capital should be confident about this new market owing to the success of other companies that have expanded their operations to this new location.</w:t>
            </w:r>
          </w:p>
        </w:tc>
      </w:tr>
    </w:tbl>
    <w:p w:rsidR="00F92175" w:rsidRDefault="00F92175" w:rsidP="00F92175"/>
    <w:p w:rsidR="00E81250" w:rsidRDefault="00E81250">
      <w:r>
        <w:br w:type="page"/>
      </w:r>
    </w:p>
    <w:p w:rsidR="00E81250" w:rsidRDefault="00E81250" w:rsidP="00E81250">
      <w:pPr>
        <w:spacing w:line="480" w:lineRule="auto"/>
        <w:ind w:firstLine="720"/>
        <w:jc w:val="center"/>
      </w:pPr>
      <w:r>
        <w:lastRenderedPageBreak/>
        <w:t>References</w:t>
      </w:r>
    </w:p>
    <w:p w:rsidR="00E81250" w:rsidRDefault="00E81250" w:rsidP="003621A2">
      <w:pPr>
        <w:spacing w:line="480" w:lineRule="auto"/>
        <w:ind w:left="720" w:hanging="720"/>
      </w:pPr>
      <w:r>
        <w:t xml:space="preserve">Khan, S. (n.d). </w:t>
      </w:r>
      <w:r w:rsidR="003621A2" w:rsidRPr="003621A2">
        <w:rPr>
          <w:i/>
        </w:rPr>
        <w:t>Currency Exchange Introduction</w:t>
      </w:r>
      <w:r w:rsidR="003621A2">
        <w:t xml:space="preserve">. Khan Academy. Retrieved from </w:t>
      </w:r>
      <w:hyperlink r:id="rId7" w:history="1">
        <w:r w:rsidR="003621A2" w:rsidRPr="0014505E">
          <w:rPr>
            <w:rStyle w:val="Hyperlink"/>
          </w:rPr>
          <w:t>https://www.khanacademy.org/economics-finance-domain/core-finance/money-and-banking/currency-tutorial/v/currency-exchange-introduction</w:t>
        </w:r>
      </w:hyperlink>
      <w:r w:rsidR="003621A2">
        <w:t xml:space="preserve"> </w:t>
      </w:r>
    </w:p>
    <w:p w:rsidR="00AD1FA7" w:rsidRPr="00E81250" w:rsidRDefault="003621A2" w:rsidP="003621A2">
      <w:pPr>
        <w:spacing w:line="480" w:lineRule="auto"/>
        <w:ind w:left="720" w:hanging="720"/>
      </w:pPr>
      <w:r w:rsidRPr="003621A2">
        <w:t>Lessard, D. R., Lucea, R., &amp; Vives, L. (2013). </w:t>
      </w:r>
      <w:r w:rsidRPr="003621A2">
        <w:rPr>
          <w:i/>
          <w:iCs/>
        </w:rPr>
        <w:t>Building your company's capabilities through global expansion</w:t>
      </w:r>
      <w:r w:rsidRPr="003621A2">
        <w:t>. MIT.</w:t>
      </w:r>
    </w:p>
    <w:sectPr w:rsidR="00AD1FA7" w:rsidRPr="00E81250" w:rsidSect="00E8125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79C" w:rsidRDefault="001C579C" w:rsidP="00E81250">
      <w:pPr>
        <w:spacing w:after="0" w:line="240" w:lineRule="auto"/>
      </w:pPr>
      <w:r>
        <w:separator/>
      </w:r>
    </w:p>
  </w:endnote>
  <w:endnote w:type="continuationSeparator" w:id="0">
    <w:p w:rsidR="001C579C" w:rsidRDefault="001C579C" w:rsidP="00E8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07" w:rsidRDefault="00195D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07" w:rsidRDefault="00195D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07" w:rsidRDefault="00195D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79C" w:rsidRDefault="001C579C" w:rsidP="00E81250">
      <w:pPr>
        <w:spacing w:after="0" w:line="240" w:lineRule="auto"/>
      </w:pPr>
      <w:r>
        <w:separator/>
      </w:r>
    </w:p>
  </w:footnote>
  <w:footnote w:type="continuationSeparator" w:id="0">
    <w:p w:rsidR="001C579C" w:rsidRDefault="001C579C" w:rsidP="00E812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07" w:rsidRDefault="00195D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203425"/>
      <w:docPartObj>
        <w:docPartGallery w:val="Page Numbers (Top of Page)"/>
        <w:docPartUnique/>
      </w:docPartObj>
    </w:sdtPr>
    <w:sdtEndPr>
      <w:rPr>
        <w:noProof/>
      </w:rPr>
    </w:sdtEndPr>
    <w:sdtContent>
      <w:p w:rsidR="00E81250" w:rsidRDefault="00E81250">
        <w:pPr>
          <w:pStyle w:val="Header"/>
          <w:jc w:val="right"/>
        </w:pPr>
        <w:r>
          <w:t xml:space="preserve">GLOBAL EXPANSION </w:t>
        </w:r>
        <w:r>
          <w:tab/>
        </w:r>
        <w:r>
          <w:tab/>
        </w:r>
        <w:r>
          <w:fldChar w:fldCharType="begin"/>
        </w:r>
        <w:r>
          <w:instrText xml:space="preserve"> PAGE   \* MERGEFORMAT </w:instrText>
        </w:r>
        <w:r>
          <w:fldChar w:fldCharType="separate"/>
        </w:r>
        <w:r w:rsidR="00195D07">
          <w:rPr>
            <w:noProof/>
          </w:rPr>
          <w:t>3</w:t>
        </w:r>
        <w:r>
          <w:rPr>
            <w:noProof/>
          </w:rPr>
          <w:fldChar w:fldCharType="end"/>
        </w:r>
      </w:p>
    </w:sdtContent>
  </w:sdt>
  <w:p w:rsidR="00E81250" w:rsidRDefault="00E812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250" w:rsidRDefault="00E81250">
    <w:pPr>
      <w:pStyle w:val="Header"/>
      <w:jc w:val="right"/>
    </w:pPr>
    <w:r>
      <w:t xml:space="preserve">Running head: GLOBAL EXPANSION </w:t>
    </w:r>
    <w:r>
      <w:tab/>
    </w:r>
    <w:r>
      <w:tab/>
    </w:r>
    <w:sdt>
      <w:sdtPr>
        <w:id w:val="969951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95D07">
          <w:rPr>
            <w:noProof/>
          </w:rPr>
          <w:t>1</w:t>
        </w:r>
        <w:r>
          <w:rPr>
            <w:noProof/>
          </w:rPr>
          <w:fldChar w:fldCharType="end"/>
        </w:r>
      </w:sdtContent>
    </w:sdt>
  </w:p>
  <w:p w:rsidR="00E81250" w:rsidRDefault="00E812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481"/>
    <w:rsid w:val="00195D07"/>
    <w:rsid w:val="001C579C"/>
    <w:rsid w:val="001D03F7"/>
    <w:rsid w:val="003621A2"/>
    <w:rsid w:val="004C7414"/>
    <w:rsid w:val="004F2481"/>
    <w:rsid w:val="00736CFC"/>
    <w:rsid w:val="00A6171B"/>
    <w:rsid w:val="00AD1FA7"/>
    <w:rsid w:val="00E81250"/>
    <w:rsid w:val="00F9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250"/>
  </w:style>
  <w:style w:type="paragraph" w:styleId="Footer">
    <w:name w:val="footer"/>
    <w:basedOn w:val="Normal"/>
    <w:link w:val="FooterChar"/>
    <w:uiPriority w:val="99"/>
    <w:unhideWhenUsed/>
    <w:rsid w:val="00E81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250"/>
  </w:style>
  <w:style w:type="character" w:styleId="Hyperlink">
    <w:name w:val="Hyperlink"/>
    <w:basedOn w:val="DefaultParagraphFont"/>
    <w:uiPriority w:val="99"/>
    <w:unhideWhenUsed/>
    <w:rsid w:val="003621A2"/>
    <w:rPr>
      <w:color w:val="0563C1" w:themeColor="hyperlink"/>
      <w:u w:val="single"/>
    </w:rPr>
  </w:style>
  <w:style w:type="table" w:styleId="TableGrid">
    <w:name w:val="Table Grid"/>
    <w:basedOn w:val="TableNormal"/>
    <w:uiPriority w:val="39"/>
    <w:rsid w:val="00F92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250"/>
  </w:style>
  <w:style w:type="paragraph" w:styleId="Footer">
    <w:name w:val="footer"/>
    <w:basedOn w:val="Normal"/>
    <w:link w:val="FooterChar"/>
    <w:uiPriority w:val="99"/>
    <w:unhideWhenUsed/>
    <w:rsid w:val="00E81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250"/>
  </w:style>
  <w:style w:type="character" w:styleId="Hyperlink">
    <w:name w:val="Hyperlink"/>
    <w:basedOn w:val="DefaultParagraphFont"/>
    <w:uiPriority w:val="99"/>
    <w:unhideWhenUsed/>
    <w:rsid w:val="003621A2"/>
    <w:rPr>
      <w:color w:val="0563C1" w:themeColor="hyperlink"/>
      <w:u w:val="single"/>
    </w:rPr>
  </w:style>
  <w:style w:type="table" w:styleId="TableGrid">
    <w:name w:val="Table Grid"/>
    <w:basedOn w:val="TableNormal"/>
    <w:uiPriority w:val="39"/>
    <w:rsid w:val="00F92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khanacademy.org/economics-finance-domain/core-finance/money-and-banking/currency-tutorial/v/currency-exchange-introduction"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3638</Characters>
  <Application>Microsoft Office Word</Application>
  <DocSecurity>0</DocSecurity>
  <Lines>30</Lines>
  <Paragraphs>8</Paragraphs>
  <ScaleCrop>false</ScaleCrop>
  <LinksUpToDate>false</LinksUpToDate>
  <CharactersWithSpaces>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2018-11-12T07:02:00Z</dcterms:created>
  <dcterms:modified xsi:type="dcterms:W3CDTF">2018-11-12T07:02:00Z</dcterms:modified>
</cp:coreProperties>
</file>